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26in1rg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  w pkt I.12.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Połączenie w spójny system komunikacji tramwajów + autobusów + SKM (jeśli by powstała) + kolei”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fcq1s9xo24g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p2jkecgpc6zl" w:id="2"/>
      <w:bookmarkEnd w:id="2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Uwaga: Dopisać “jako odpowiedzi na konieczność powstania długofalowego programu zrównoważonej mobilności odpowiadający na postulat neutralności klimatycznej Wrocławia w kontekście Europejskiego Zielonego Ładu oraz  wykorzystania funduszy UE”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26in1r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color w:val="ff0000"/>
          <w:sz w:val="24"/>
          <w:szCs w:val="24"/>
          <w:u w:val="single"/>
        </w:rPr>
      </w:pPr>
      <w:bookmarkStart w:colFirst="0" w:colLast="0" w:name="_26in1rg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Uzasadnienie: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26in1rg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Politycy i mieszkańcy miasta i UE potrzebują ambitnego celu i programu na okres ok. 15 lat nawiązującego do  celu  neutralności klimatycznej i działań antykryzysowych UE. Tylko taki program może liczyć na wyjątkowej wielkości w historii środki UE z Funduszu Odbudowy i Spójności na lata 2021-27.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Potrzebne jest konsekwentne działania miasta już teraz w tej wyjątkowej w UE sytuacji, aby  dojść do czystego, wygodnego, punktualnego transportu i mobilności.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jc w:val="both"/>
        <w:rPr>
          <w:rFonts w:ascii="Arial" w:cs="Arial" w:eastAsia="Arial" w:hAnsi="Arial"/>
          <w:color w:val="434343"/>
          <w:sz w:val="24"/>
          <w:szCs w:val="24"/>
        </w:rPr>
      </w:pPr>
      <w:bookmarkStart w:colFirst="0" w:colLast="0" w:name="_26in1rg" w:id="0"/>
      <w:bookmarkEnd w:id="0"/>
      <w:r w:rsidDel="00000000" w:rsidR="00000000" w:rsidRPr="00000000">
        <w:rPr>
          <w:rFonts w:ascii="Arial" w:cs="Arial" w:eastAsia="Arial" w:hAnsi="Arial"/>
          <w:color w:val="434343"/>
          <w:sz w:val="24"/>
          <w:szCs w:val="24"/>
          <w:rtl w:val="0"/>
        </w:rPr>
        <w:t xml:space="preserve">w pkt VII sugerujemy dopisać następującą rekomendację nr 5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26in1rg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Rekomendujemy  wyegzekwowanie od stacji diagnostycznych podległych prezydentowi Wrocławia regularnych kontroli przestrzegania norm emisji z wszystkich pojazdów (diesli i benzynowych) oraz ich wyposażenia w sprawne filtry DPD (diesle) przy ich rejestracji, począwszy od 2020 r.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26in1rg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UZASADNIENIE: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Już prezydent Dutkiewicz w swoim pakiecie działań antysmogowych wpisał ten postulat. Nigdy nie był on skutecznie wyegzekwowany przez Urząd Miasta. Badanie Krakowa wskazują, że 8% aut (zwykle najstarszych) odpowiada za 50 % zanieczyszczeń powietrza. Jako kierowcy, rowerzyści i piesi codziennie widzimy kopcące i trujące nas auta, które na pewno nie spełniają norm emisji i obowiązującego na drogach prawa. To proste działania organizacyjne, które mogą szybko przynieść poprawę. Świetnie pasuje do  punktu VII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ui2magf0bp2z" w:id="3"/>
      <w:bookmarkEnd w:id="3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7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-123823</wp:posOffset>
          </wp:positionV>
          <wp:extent cx="723038" cy="58141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038" cy="581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spacing w:line="288" w:lineRule="auto"/>
      <w:rPr>
        <w:rFonts w:ascii="Roboto" w:cs="Roboto" w:eastAsia="Roboto" w:hAnsi="Roboto"/>
        <w:color w:val="ffffff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ffffff"/>
        <w:sz w:val="20"/>
        <w:szCs w:val="20"/>
        <w:rtl w:val="0"/>
      </w:rPr>
      <w:t xml:space="preserve">Pokaż panel boczny</w:t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jc w:val="both"/>
    </w:pPr>
    <w:rPr>
      <w:rFonts w:ascii="Quicksand" w:cs="Quicksand" w:eastAsia="Quicksand" w:hAnsi="Quicksa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