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26in1rg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  w pkt I.12.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Połączenie w spójny system komunikacji tramwajów + autobusów + SKM (jeśli by powstała) + kolei”</w:t>
      </w:r>
    </w:p>
    <w:p w:rsidR="00000000" w:rsidDel="00000000" w:rsidP="00000000" w:rsidRDefault="00000000" w:rsidRPr="00000000" w14:paraId="00000002">
      <w:pPr>
        <w:spacing w:after="0" w:lineRule="auto"/>
        <w:ind w:left="0" w:firstLine="0"/>
        <w:jc w:val="both"/>
        <w:rPr>
          <w:rFonts w:ascii="Arial" w:cs="Arial" w:eastAsia="Arial" w:hAnsi="Arial"/>
          <w:color w:val="ff0000"/>
          <w:sz w:val="24"/>
          <w:szCs w:val="24"/>
        </w:rPr>
      </w:pPr>
      <w:bookmarkStart w:colFirst="0" w:colLast="0" w:name="_fcq1s9xo24g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0" w:firstLine="0"/>
        <w:jc w:val="both"/>
        <w:rPr>
          <w:rFonts w:ascii="Arial" w:cs="Arial" w:eastAsia="Arial" w:hAnsi="Arial"/>
          <w:color w:val="ff0000"/>
          <w:sz w:val="24"/>
          <w:szCs w:val="24"/>
        </w:rPr>
      </w:pPr>
      <w:bookmarkStart w:colFirst="0" w:colLast="0" w:name="_p2jkecgpc6zl" w:id="2"/>
      <w:bookmarkEnd w:id="2"/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Uwaga: Dopisać “jako odpowiedzi na konieczność powstania długofalowego programu zrównoważonej mobilności odpowiadający na postulat neutralności klimatycznej Wrocławia w kontekście Europejskiego Zielonego Ładu oraz  wykorzystania funduszy UE” 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color w:val="ff0000"/>
          <w:sz w:val="24"/>
          <w:szCs w:val="24"/>
        </w:rPr>
      </w:pPr>
      <w:bookmarkStart w:colFirst="0" w:colLast="0" w:name="_26in1r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color w:val="ff0000"/>
          <w:sz w:val="24"/>
          <w:szCs w:val="24"/>
          <w:u w:val="single"/>
        </w:rPr>
      </w:pPr>
      <w:bookmarkStart w:colFirst="0" w:colLast="0" w:name="_26in1rg" w:id="0"/>
      <w:bookmarkEnd w:id="0"/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Uzasadnienie: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26in1rg" w:id="0"/>
      <w:bookmarkEnd w:id="0"/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Politycy i mieszkańcy miasta i UE potrzebują ambitnego celu i programu na okres ok. 15 lat nawiązującego do  celu  neutralności klimatycznej i działań antykryzysowych UE. Tylko taki program może liczyć na wyjątkowej wielkości w historii środki UE z Funduszu Odbudowy i Spójności na lata 2021-27.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Potrzebne jest konsekwentne działania miasta już teraz w tej wyjątkowej w UE sytuacji, aby  dojść do czystego, wygodnego, punktualnego transportu i mobilności.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jc w:val="both"/>
        <w:rPr>
          <w:rFonts w:ascii="Arial" w:cs="Arial" w:eastAsia="Arial" w:hAnsi="Arial"/>
          <w:color w:val="434343"/>
          <w:sz w:val="24"/>
          <w:szCs w:val="24"/>
        </w:rPr>
      </w:pPr>
      <w:bookmarkStart w:colFirst="0" w:colLast="0" w:name="_26in1rg" w:id="0"/>
      <w:bookmarkEnd w:id="0"/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w pkt VII sugerujemy dopisać następującą rekomendację nr 5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firstLine="0"/>
        <w:jc w:val="both"/>
        <w:rPr>
          <w:rFonts w:ascii="Arial" w:cs="Arial" w:eastAsia="Arial" w:hAnsi="Arial"/>
          <w:color w:val="ff0000"/>
          <w:sz w:val="24"/>
          <w:szCs w:val="24"/>
        </w:rPr>
      </w:pPr>
      <w:bookmarkStart w:colFirst="0" w:colLast="0" w:name="_26in1rg" w:id="0"/>
      <w:bookmarkEnd w:id="0"/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Rekomendujemy  wyegzekwowanie od stacji diagnostycznych podległych prezydentowi Wrocławia regularnych kontroli przestrzegania norm emisji z wszystkich pojazdów (diesli i benzynowych) oraz ich wyposażenia w sprawne filtry DPD (diesle) przy ich rejestracji, począwszy od 2020 r.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26in1rg" w:id="0"/>
      <w:bookmarkEnd w:id="0"/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u w:val="single"/>
          <w:rtl w:val="0"/>
        </w:rPr>
        <w:t xml:space="preserve">UZASADNIENIE: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Już prezydent Dutkiewicz w swoim pakiecie działań antysmogowych wpisał ten postulat. Nigdy nie był on skutecznie wyegzekwowany przez Urząd Miasta. Badanie Krakowa wskazują, że 8% aut (zwykle najstarszych) odpowiada za 50 % zanieczyszczeń powietrza. Jako kierowcy, rowerzyści i piesi codziennie widzimy kopcące i trujące nas auta, które na pewno nie spełniają norm emisji i obowiązującego na drogach prawa. To proste działania organizacyjne, które mogą szybko przynieść poprawę. Świetnie pasuje do  punktu VII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spacing w:after="0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ui2magf0bp2z" w:id="3"/>
      <w:bookmarkEnd w:id="3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7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-123823</wp:posOffset>
          </wp:positionV>
          <wp:extent cx="723038" cy="58141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038" cy="5814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spacing w:line="288" w:lineRule="auto"/>
      <w:rPr>
        <w:rFonts w:ascii="Roboto" w:cs="Roboto" w:eastAsia="Roboto" w:hAnsi="Roboto"/>
        <w:color w:val="ffffff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ffffff"/>
        <w:sz w:val="20"/>
        <w:szCs w:val="20"/>
        <w:rtl w:val="0"/>
      </w:rPr>
      <w:t xml:space="preserve">Pokaż panel boczny</w:t>
    </w:r>
  </w:p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jc w:val="both"/>
    </w:pPr>
    <w:rPr>
      <w:rFonts w:ascii="Quicksand" w:cs="Quicksand" w:eastAsia="Quicksand" w:hAnsi="Quicksand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